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E3" w:rsidRPr="00280D41" w:rsidRDefault="00F22EE3" w:rsidP="00F22EE3">
      <w:pPr>
        <w:rPr>
          <w:rFonts w:ascii="Times New Roman" w:hAnsi="Times New Roman" w:cs="Times New Roman"/>
          <w:b/>
          <w:lang w:val="en-US"/>
        </w:rPr>
      </w:pPr>
      <w:r w:rsidRPr="00280D41">
        <w:rPr>
          <w:rFonts w:ascii="Times New Roman" w:hAnsi="Times New Roman" w:cs="Times New Roman"/>
          <w:b/>
          <w:lang w:val="en-US"/>
        </w:rPr>
        <w:t xml:space="preserve">Jonathan Malloy. “The ‘Responsible Government Approach’ and its effect on Canadian legislative studies.” </w:t>
      </w:r>
      <w:r w:rsidRPr="00280D41">
        <w:rPr>
          <w:rFonts w:ascii="Times New Roman" w:hAnsi="Times New Roman" w:cs="Times New Roman"/>
          <w:b/>
          <w:i/>
          <w:lang w:val="en-US"/>
        </w:rPr>
        <w:t>Parliamentary Perspectives</w:t>
      </w:r>
      <w:r w:rsidRPr="00280D41">
        <w:rPr>
          <w:rFonts w:ascii="Times New Roman" w:hAnsi="Times New Roman" w:cs="Times New Roman"/>
          <w:b/>
          <w:lang w:val="en-US"/>
        </w:rPr>
        <w:t xml:space="preserve">. </w:t>
      </w:r>
      <w:proofErr w:type="spellStart"/>
      <w:r w:rsidRPr="00280D41">
        <w:rPr>
          <w:rFonts w:ascii="Times New Roman" w:hAnsi="Times New Roman" w:cs="Times New Roman"/>
          <w:b/>
          <w:lang w:val="en-US"/>
        </w:rPr>
        <w:t>Vol</w:t>
      </w:r>
      <w:proofErr w:type="spellEnd"/>
      <w:r w:rsidRPr="00280D41">
        <w:rPr>
          <w:rFonts w:ascii="Times New Roman" w:hAnsi="Times New Roman" w:cs="Times New Roman"/>
          <w:b/>
          <w:lang w:val="en-US"/>
        </w:rPr>
        <w:t xml:space="preserve"> 5. November 2002.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Thesis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dominance of the “responsible government approach” (RGA), which is characterized by a belief in the organic unity of Parliament’s components, a focus on the need for a strong government, and a </w:t>
      </w:r>
      <w:r w:rsidR="007D6D42" w:rsidRPr="007D6D42">
        <w:rPr>
          <w:rFonts w:ascii="Times New Roman" w:hAnsi="Times New Roman" w:cs="Times New Roman"/>
          <w:b/>
          <w:lang w:val="en-US"/>
        </w:rPr>
        <w:t xml:space="preserve">strongly </w:t>
      </w:r>
      <w:r w:rsidRPr="007D6D42">
        <w:rPr>
          <w:rFonts w:ascii="Times New Roman" w:hAnsi="Times New Roman" w:cs="Times New Roman"/>
          <w:b/>
          <w:lang w:val="en-US"/>
        </w:rPr>
        <w:t>normative</w:t>
      </w:r>
      <w:r>
        <w:rPr>
          <w:rFonts w:ascii="Times New Roman" w:hAnsi="Times New Roman" w:cs="Times New Roman"/>
          <w:lang w:val="en-US"/>
        </w:rPr>
        <w:t xml:space="preserve"> defense of the existing parliamentary system, has limited legislative studies in Canada.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</w:p>
    <w:p w:rsidR="00F22EE3" w:rsidRDefault="00F22EE3" w:rsidP="00F22EE3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Approach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Literature review / neo-institutionalism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</w:p>
    <w:p w:rsidR="00F22EE3" w:rsidRDefault="00F22EE3" w:rsidP="00F22EE3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Key Arguments</w:t>
      </w:r>
    </w:p>
    <w:p w:rsidR="00F22EE3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AB316F">
        <w:rPr>
          <w:rFonts w:ascii="Times New Roman" w:hAnsi="Times New Roman" w:cs="Times New Roman"/>
        </w:rPr>
        <w:t>“Parliament is a surprisingly understudied field in Canadian Political Science” with even further momentum was lost in the years after Atkinson and Thomas</w:t>
      </w:r>
    </w:p>
    <w:p w:rsidR="00F22EE3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RGA stresses division between government, who have right to pass laws and administer departments, and opposition, with no right to govern but only to question. </w:t>
      </w:r>
    </w:p>
    <w:p w:rsidR="007D6D42" w:rsidRDefault="00F22EE3" w:rsidP="007D6D42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Leads to a celebration of centralized authority and party discipline which they see as contributing to clarity and accountability. </w:t>
      </w:r>
    </w:p>
    <w:p w:rsidR="007D6D42" w:rsidRDefault="007D6D42" w:rsidP="007D6D42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</w:p>
    <w:p w:rsidR="007D6D42" w:rsidRPr="007D6D42" w:rsidRDefault="007D6D42" w:rsidP="007D6D42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D6D42">
        <w:rPr>
          <w:rFonts w:ascii="Times New Roman" w:hAnsi="Times New Roman" w:cs="Times New Roman"/>
        </w:rPr>
        <w:t xml:space="preserve">Two key problems with RGA: (1) many of its key tenets are hidden out of sight and are difficult to test - </w:t>
      </w:r>
      <w:r w:rsidRPr="007D6D42">
        <w:rPr>
          <w:rFonts w:ascii="Times New Roman" w:hAnsi="Times New Roman" w:cs="Verdana"/>
          <w:szCs w:val="20"/>
          <w:lang w:val="en-US"/>
        </w:rPr>
        <w:t>It argues legislators are influential, but only behind the scenes in private activities such as caucus, and explains party discipline as largely self-imposed,</w:t>
      </w:r>
      <w:r w:rsidRPr="007D6D42">
        <w:rPr>
          <w:rFonts w:ascii="Times New Roman" w:hAnsi="Times New Roman" w:cs="Times New Roman"/>
        </w:rPr>
        <w:t xml:space="preserve"> </w:t>
      </w:r>
      <w:r w:rsidRPr="007D6D42">
        <w:rPr>
          <w:rFonts w:ascii="Times New Roman" w:hAnsi="Times New Roman" w:cs="Verdana"/>
          <w:szCs w:val="20"/>
          <w:lang w:val="en-US"/>
        </w:rPr>
        <w:t>driven by shared interests and solidarity rather than coercion; and (2) the approach emphasizes accountability so strongly that it appears to undervalue other principles of representation and responsiveness.</w:t>
      </w:r>
    </w:p>
    <w:p w:rsidR="007D6D42" w:rsidRDefault="007D6D42" w:rsidP="007D6D42">
      <w:pPr>
        <w:pStyle w:val="Default"/>
        <w:ind w:left="360"/>
        <w:rPr>
          <w:rFonts w:ascii="Times New Roman" w:hAnsi="Times New Roman" w:cs="Times New Roman"/>
        </w:rPr>
      </w:pPr>
    </w:p>
    <w:p w:rsidR="00F22EE3" w:rsidRDefault="007D6D42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Manifestation of these p</w:t>
      </w:r>
      <w:r w:rsidR="00F22EE3">
        <w:rPr>
          <w:rFonts w:ascii="Times New Roman" w:hAnsi="Times New Roman" w:cs="Times New Roman"/>
        </w:rPr>
        <w:t>roblems with RGA: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Argues that backbenchers have influence, but only in venues </w:t>
      </w:r>
      <w:r w:rsidRPr="00DA5227">
        <w:rPr>
          <w:rFonts w:ascii="Times New Roman" w:hAnsi="Times New Roman" w:cs="Times New Roman"/>
          <w:u w:val="single"/>
        </w:rPr>
        <w:t xml:space="preserve">closed to the </w:t>
      </w:r>
      <w:r w:rsidRPr="00F1116B">
        <w:rPr>
          <w:rFonts w:ascii="Times New Roman" w:hAnsi="Times New Roman" w:cs="Times New Roman"/>
          <w:u w:val="single"/>
        </w:rPr>
        <w:t>public</w:t>
      </w:r>
      <w:r>
        <w:rPr>
          <w:rFonts w:ascii="Times New Roman" w:hAnsi="Times New Roman" w:cs="Times New Roman"/>
        </w:rPr>
        <w:t xml:space="preserve"> (e.g. party caucuses)</w:t>
      </w:r>
      <w:r w:rsidRPr="00AB316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making the claim hard</w:t>
      </w:r>
      <w:r w:rsidRPr="00AB316F">
        <w:rPr>
          <w:rFonts w:ascii="Times New Roman" w:hAnsi="Times New Roman" w:cs="Times New Roman"/>
        </w:rPr>
        <w:t xml:space="preserve"> to verify 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Only qualitative, interview based approaches can be used with these assumptions.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Makes it hard to test arguments that caucus is either impotent or influential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</w:t>
      </w:r>
      <w:r w:rsidRPr="00AB316F">
        <w:rPr>
          <w:rFonts w:ascii="Times New Roman" w:hAnsi="Times New Roman" w:cs="Times New Roman"/>
        </w:rPr>
        <w:t>overemphas</w:t>
      </w:r>
      <w:r>
        <w:rPr>
          <w:rFonts w:ascii="Times New Roman" w:hAnsi="Times New Roman" w:cs="Times New Roman"/>
        </w:rPr>
        <w:t xml:space="preserve">izes </w:t>
      </w:r>
      <w:r w:rsidRPr="00F1116B">
        <w:rPr>
          <w:rFonts w:ascii="Times New Roman" w:hAnsi="Times New Roman" w:cs="Times New Roman"/>
          <w:u w:val="single"/>
        </w:rPr>
        <w:t>accountability</w:t>
      </w:r>
      <w:r>
        <w:rPr>
          <w:rFonts w:ascii="Times New Roman" w:hAnsi="Times New Roman" w:cs="Times New Roman"/>
        </w:rPr>
        <w:t xml:space="preserve"> to the expense of responsiveness and representation.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Accountability </w:t>
      </w:r>
      <w:r w:rsidRPr="007511F0">
        <w:rPr>
          <w:rFonts w:ascii="Times New Roman" w:hAnsi="Times New Roman" w:cs="Times New Roman"/>
        </w:rPr>
        <w:t>is seen to</w:t>
      </w:r>
      <w:r>
        <w:rPr>
          <w:rFonts w:ascii="Times New Roman" w:hAnsi="Times New Roman" w:cs="Times New Roman"/>
        </w:rPr>
        <w:t xml:space="preserve"> be exercised primarily when citizens vote</w:t>
      </w:r>
      <w:r w:rsidRPr="007511F0">
        <w:rPr>
          <w:rFonts w:ascii="Times New Roman" w:hAnsi="Times New Roman" w:cs="Times New Roman"/>
        </w:rPr>
        <w:t xml:space="preserve"> at election on the government’s entire record of achievement.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Changes that would blur this record (e.g. free votes) are therefore opposed.</w:t>
      </w:r>
      <w:r w:rsidRPr="007511F0">
        <w:rPr>
          <w:rFonts w:ascii="Times New Roman" w:hAnsi="Times New Roman" w:cs="Times New Roman"/>
        </w:rPr>
        <w:t xml:space="preserve"> 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F1116B">
        <w:rPr>
          <w:rFonts w:ascii="Times New Roman" w:hAnsi="Times New Roman" w:cs="Times New Roman"/>
        </w:rPr>
        <w:t>Focusing on elections relieves the opposition of the need to properly scrutinize the government on a daily basis or to develop meaningful alternative policies.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F1116B">
        <w:rPr>
          <w:rFonts w:ascii="Times New Roman" w:hAnsi="Times New Roman" w:cs="Times New Roman"/>
        </w:rPr>
        <w:t>However, RGA supporters blame this failure on the parties themselves, not the system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DA5227">
        <w:rPr>
          <w:rFonts w:ascii="Times New Roman" w:hAnsi="Times New Roman" w:cs="Times New Roman"/>
        </w:rPr>
        <w:t xml:space="preserve">Focus on accountability with strict roles for the government and opposition accepts a reduced degree of representativeness and responsiveness since interests not represented in the governing party have no avenue for influence. 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DA5227">
        <w:rPr>
          <w:rFonts w:ascii="Times New Roman" w:hAnsi="Times New Roman" w:cs="Times New Roman"/>
        </w:rPr>
        <w:t>Also citizens are seen to have no means for input beyond one vote.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 w:rsidRPr="005A3DBC">
        <w:rPr>
          <w:rFonts w:ascii="Times New Roman" w:hAnsi="Times New Roman" w:cs="Times New Roman"/>
          <w:u w:val="single"/>
        </w:rPr>
        <w:t>Holistic focus</w:t>
      </w:r>
      <w:r>
        <w:rPr>
          <w:rFonts w:ascii="Times New Roman" w:hAnsi="Times New Roman" w:cs="Times New Roman"/>
        </w:rPr>
        <w:t xml:space="preserve"> restricts comparisons and limits discussions of reform</w:t>
      </w:r>
    </w:p>
    <w:p w:rsidR="00F22EE3" w:rsidRPr="00494908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View of parliament system (e.g. Crown, Commons, Senate) as an organic whole </w:t>
      </w:r>
      <w:r w:rsidRPr="00494908">
        <w:rPr>
          <w:rFonts w:ascii="Times New Roman" w:hAnsi="Times New Roman" w:cs="Times New Roman"/>
        </w:rPr>
        <w:t xml:space="preserve">lead to the view that </w:t>
      </w:r>
      <w:r>
        <w:rPr>
          <w:rFonts w:ascii="Times New Roman" w:hAnsi="Times New Roman" w:cs="Times New Roman"/>
        </w:rPr>
        <w:t xml:space="preserve">it can only be compared to other models in its entirety. The </w:t>
      </w:r>
      <w:r w:rsidRPr="00494908">
        <w:rPr>
          <w:rFonts w:ascii="Times New Roman" w:hAnsi="Times New Roman" w:cs="Times New Roman"/>
        </w:rPr>
        <w:t xml:space="preserve">Commons therefore should not be compared </w:t>
      </w:r>
      <w:r>
        <w:rPr>
          <w:rFonts w:ascii="Times New Roman" w:hAnsi="Times New Roman" w:cs="Times New Roman"/>
        </w:rPr>
        <w:t xml:space="preserve">directly </w:t>
      </w:r>
      <w:r w:rsidRPr="00494908">
        <w:rPr>
          <w:rFonts w:ascii="Times New Roman" w:hAnsi="Times New Roman" w:cs="Times New Roman"/>
        </w:rPr>
        <w:t xml:space="preserve">to Congress. 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494908">
        <w:rPr>
          <w:rFonts w:ascii="Times New Roman" w:hAnsi="Times New Roman" w:cs="Times New Roman"/>
        </w:rPr>
        <w:t>Also, reform proposals can only be evaluated for their impact on the system as a whole.</w:t>
      </w:r>
    </w:p>
    <w:p w:rsidR="00F22EE3" w:rsidRPr="00494908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494908">
        <w:rPr>
          <w:rFonts w:ascii="Times New Roman" w:hAnsi="Times New Roman" w:cs="Times New Roman"/>
        </w:rPr>
        <w:t>Reform</w:t>
      </w:r>
      <w:r>
        <w:rPr>
          <w:rFonts w:ascii="Times New Roman" w:hAnsi="Times New Roman" w:cs="Times New Roman"/>
        </w:rPr>
        <w:t>s</w:t>
      </w:r>
      <w:r w:rsidRPr="00494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tend to be classified </w:t>
      </w:r>
      <w:r w:rsidRPr="00494908">
        <w:rPr>
          <w:rFonts w:ascii="Times New Roman" w:hAnsi="Times New Roman" w:cs="Times New Roman"/>
        </w:rPr>
        <w:t xml:space="preserve">as those that either maintain the system or destroy it </w:t>
      </w:r>
    </w:p>
    <w:p w:rsidR="00F22EE3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RGA proponents especially stress need to preserve the flexibility in the system.</w:t>
      </w:r>
    </w:p>
    <w:p w:rsidR="00F22EE3" w:rsidRPr="00494908" w:rsidRDefault="00F22EE3" w:rsidP="00F22EE3">
      <w:pPr>
        <w:pStyle w:val="Default"/>
        <w:numPr>
          <w:ilvl w:val="0"/>
          <w:numId w:val="2"/>
        </w:numPr>
        <w:ind w:left="1620"/>
        <w:rPr>
          <w:rFonts w:ascii="Times New Roman" w:hAnsi="Times New Roman" w:cs="Times New Roman"/>
        </w:rPr>
      </w:pPr>
      <w:r w:rsidRPr="00494908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GA</w:t>
      </w:r>
      <w:r w:rsidRPr="00494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therefore </w:t>
      </w:r>
      <w:r w:rsidRPr="00494908">
        <w:rPr>
          <w:rFonts w:ascii="Times New Roman" w:hAnsi="Times New Roman" w:cs="Times New Roman"/>
        </w:rPr>
        <w:t xml:space="preserve">leads to the argument that the system “is so flexible that we dare not change it.” </w:t>
      </w:r>
    </w:p>
    <w:p w:rsidR="00F22EE3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511F0">
        <w:rPr>
          <w:rFonts w:ascii="Times New Roman" w:hAnsi="Times New Roman" w:cs="Times New Roman"/>
        </w:rPr>
        <w:t xml:space="preserve">Defenders of RGA assume that most people do not understand the basic principles of the system and how they differ from the congressional model. </w:t>
      </w:r>
    </w:p>
    <w:p w:rsidR="00F22EE3" w:rsidRPr="007511F0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511F0">
        <w:rPr>
          <w:rFonts w:ascii="Times New Roman" w:hAnsi="Times New Roman" w:cs="Times New Roman"/>
        </w:rPr>
        <w:t>Failure to adopt foreign theories is caused by the difficulty of applying them to the Canadian context</w:t>
      </w:r>
    </w:p>
    <w:p w:rsidR="00F22EE3" w:rsidRPr="005A3DBC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Progress has come in limited areas – e.g. </w:t>
      </w:r>
      <w:r w:rsidRPr="005A3DBC">
        <w:rPr>
          <w:rFonts w:ascii="Times New Roman" w:hAnsi="Times New Roman" w:cs="Times New Roman"/>
        </w:rPr>
        <w:t>Docherty developed an original theory of the legislative career using rational choice</w:t>
      </w:r>
      <w:r>
        <w:rPr>
          <w:rFonts w:ascii="Times New Roman" w:hAnsi="Times New Roman" w:cs="Times New Roman"/>
        </w:rPr>
        <w:t>; feminist scholars studied representation by women MPs</w:t>
      </w:r>
    </w:p>
    <w:p w:rsidR="00F22EE3" w:rsidRDefault="00F22EE3" w:rsidP="00F22EE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Hope for the future 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 w:rsidRPr="00AB316F">
        <w:rPr>
          <w:rFonts w:ascii="Times New Roman" w:hAnsi="Times New Roman" w:cs="Times New Roman"/>
        </w:rPr>
        <w:t xml:space="preserve">Malloy notes a few glimmers of hope with </w:t>
      </w:r>
      <w:proofErr w:type="spellStart"/>
      <w:r w:rsidRPr="00AB316F">
        <w:rPr>
          <w:rFonts w:ascii="Times New Roman" w:hAnsi="Times New Roman" w:cs="Times New Roman"/>
        </w:rPr>
        <w:t>Kam</w:t>
      </w:r>
      <w:proofErr w:type="spellEnd"/>
      <w:r w:rsidRPr="00AB31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(2000) and Schneider</w:t>
      </w:r>
      <w:r>
        <w:rPr>
          <w:rStyle w:val="FootnoteReference"/>
          <w:rFonts w:ascii="Times New Roman" w:hAnsi="Times New Roman" w:cs="Times New Roman"/>
        </w:rPr>
        <w:footnoteReference w:id="1"/>
      </w:r>
      <w:r w:rsidRPr="00AB316F">
        <w:rPr>
          <w:rFonts w:ascii="Times New Roman" w:hAnsi="Times New Roman" w:cs="Times New Roman"/>
        </w:rPr>
        <w:t xml:space="preserve">, both of which </w:t>
      </w:r>
      <w:r>
        <w:rPr>
          <w:rFonts w:ascii="Times New Roman" w:hAnsi="Times New Roman" w:cs="Times New Roman"/>
        </w:rPr>
        <w:t>are theoretically grounded and actually examine the assumptions made by the RGA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Kam</w:t>
      </w:r>
      <w:proofErr w:type="spellEnd"/>
      <w:r>
        <w:rPr>
          <w:rFonts w:ascii="Times New Roman" w:hAnsi="Times New Roman" w:cs="Times New Roman"/>
        </w:rPr>
        <w:t xml:space="preserve"> used a formal empirical model to highlight the benefits of concentrated ministerial accountability in Canada, Australia, NZ, and the UK.</w:t>
      </w:r>
    </w:p>
    <w:p w:rsidR="00F22EE3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Schneider adapts the idea of the utility maximizing legislative actor from the US, but focusing on parties instead of individuals, showing that a powerful executive is efficient. </w:t>
      </w:r>
    </w:p>
    <w:p w:rsidR="007D6D42" w:rsidRDefault="00F22EE3" w:rsidP="00F22EE3">
      <w:pPr>
        <w:pStyle w:val="Default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Both however take party discipline for granted.</w:t>
      </w:r>
    </w:p>
    <w:p w:rsidR="007D6D42" w:rsidRDefault="007D6D42" w:rsidP="007D6D42">
      <w:pPr>
        <w:pStyle w:val="Default"/>
        <w:rPr>
          <w:rFonts w:ascii="Times New Roman" w:hAnsi="Times New Roman" w:cs="Times New Roman"/>
        </w:rPr>
      </w:pPr>
    </w:p>
    <w:p w:rsidR="00F22EE3" w:rsidRPr="00AB316F" w:rsidRDefault="007D6D42" w:rsidP="007D6D4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best way to restore momentum in </w:t>
      </w:r>
      <w:proofErr w:type="spellStart"/>
      <w:r>
        <w:rPr>
          <w:rFonts w:ascii="Times New Roman" w:hAnsi="Times New Roman" w:cs="Times New Roman"/>
        </w:rPr>
        <w:t>Cdn</w:t>
      </w:r>
      <w:proofErr w:type="spellEnd"/>
      <w:r>
        <w:rPr>
          <w:rFonts w:ascii="Times New Roman" w:hAnsi="Times New Roman" w:cs="Times New Roman"/>
        </w:rPr>
        <w:t xml:space="preserve"> legislative studies is to move away from the defensive and categorical modes of the responsible govt approach, toward greater engagement with alternative conceptions of representation and democratic accountability.</w:t>
      </w:r>
    </w:p>
    <w:p w:rsidR="00F22EE3" w:rsidRDefault="00F22EE3" w:rsidP="00F22EE3">
      <w:pPr>
        <w:rPr>
          <w:rFonts w:ascii="Times New Roman" w:hAnsi="Times New Roman" w:cs="Times New Roman"/>
          <w:b/>
          <w:lang w:val="en-US"/>
        </w:rPr>
      </w:pPr>
    </w:p>
    <w:p w:rsidR="00F22EE3" w:rsidRDefault="00F22EE3" w:rsidP="00F22EE3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Contribution</w:t>
      </w:r>
    </w:p>
    <w:p w:rsidR="00F22EE3" w:rsidRDefault="00F22EE3" w:rsidP="00F22EE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Updated Atkinson and Thomas (1993) with an additional decade worth of content (or lack there of). Noticed the more quantitative / theoretical approach demonstrated by </w:t>
      </w:r>
      <w:proofErr w:type="spellStart"/>
      <w:r>
        <w:rPr>
          <w:rFonts w:ascii="Times New Roman" w:hAnsi="Times New Roman" w:cs="Times New Roman"/>
          <w:lang w:val="en-US"/>
        </w:rPr>
        <w:t>Kam</w:t>
      </w:r>
      <w:proofErr w:type="spellEnd"/>
      <w:r>
        <w:rPr>
          <w:rFonts w:ascii="Times New Roman" w:hAnsi="Times New Roman" w:cs="Times New Roman"/>
          <w:lang w:val="en-US"/>
        </w:rPr>
        <w:t xml:space="preserve"> (2000) which has since gained speed.</w:t>
      </w:r>
    </w:p>
    <w:p w:rsidR="00023591" w:rsidRDefault="00023591"/>
    <w:sectPr w:rsidR="00023591" w:rsidSect="000235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EE3" w:rsidRDefault="00F22EE3" w:rsidP="00F22EE3">
      <w:r>
        <w:separator/>
      </w:r>
    </w:p>
  </w:endnote>
  <w:endnote w:type="continuationSeparator" w:id="0">
    <w:p w:rsidR="00F22EE3" w:rsidRDefault="00F22EE3" w:rsidP="00F2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EE3" w:rsidRDefault="00F22EE3" w:rsidP="00F22EE3">
      <w:r>
        <w:separator/>
      </w:r>
    </w:p>
  </w:footnote>
  <w:footnote w:type="continuationSeparator" w:id="0">
    <w:p w:rsidR="00F22EE3" w:rsidRDefault="00F22EE3" w:rsidP="00F22EE3">
      <w:r>
        <w:continuationSeparator/>
      </w:r>
    </w:p>
  </w:footnote>
  <w:footnote w:id="1">
    <w:p w:rsidR="00F22EE3" w:rsidRPr="003502CE" w:rsidRDefault="00F22EE3" w:rsidP="00F22EE3">
      <w:pPr>
        <w:pStyle w:val="FootnoteText"/>
        <w:rPr>
          <w:rFonts w:ascii="Times New Roman" w:hAnsi="Times New Roman" w:cs="Times New Roman"/>
        </w:rPr>
      </w:pPr>
      <w:r w:rsidRPr="003502CE">
        <w:rPr>
          <w:rStyle w:val="FootnoteReference"/>
          <w:rFonts w:ascii="Times New Roman" w:hAnsi="Times New Roman" w:cs="Times New Roman"/>
        </w:rPr>
        <w:footnoteRef/>
      </w:r>
      <w:r w:rsidRPr="003502CE">
        <w:rPr>
          <w:rFonts w:ascii="Times New Roman" w:hAnsi="Times New Roman" w:cs="Times New Roman"/>
        </w:rPr>
        <w:t xml:space="preserve"> Steffen Schneider, “Parliamentary Government in Canada: Institutional Stability and Constitutional Reform in the</w:t>
      </w:r>
    </w:p>
    <w:p w:rsidR="00F22EE3" w:rsidRPr="003502CE" w:rsidRDefault="00F22EE3" w:rsidP="00F22EE3">
      <w:pPr>
        <w:pStyle w:val="FootnoteText"/>
        <w:rPr>
          <w:rFonts w:ascii="Times New Roman" w:hAnsi="Times New Roman" w:cs="Times New Roman"/>
        </w:rPr>
      </w:pPr>
      <w:r w:rsidRPr="003502CE">
        <w:rPr>
          <w:rFonts w:ascii="Times New Roman" w:hAnsi="Times New Roman" w:cs="Times New Roman"/>
        </w:rPr>
        <w:t xml:space="preserve">Legislative and Executive Branches” in Rainer-Olaf </w:t>
      </w:r>
      <w:proofErr w:type="spellStart"/>
      <w:r w:rsidRPr="003502CE">
        <w:rPr>
          <w:rFonts w:ascii="Times New Roman" w:hAnsi="Times New Roman" w:cs="Times New Roman"/>
        </w:rPr>
        <w:t>Schultze</w:t>
      </w:r>
      <w:proofErr w:type="spellEnd"/>
      <w:r w:rsidRPr="003502CE">
        <w:rPr>
          <w:rFonts w:ascii="Times New Roman" w:hAnsi="Times New Roman" w:cs="Times New Roman"/>
        </w:rPr>
        <w:t xml:space="preserve"> and Roland Sturm, eds., The Politics of Constitutional</w:t>
      </w:r>
    </w:p>
    <w:p w:rsidR="00F22EE3" w:rsidRPr="003502CE" w:rsidRDefault="00F22EE3" w:rsidP="00F22EE3">
      <w:pPr>
        <w:pStyle w:val="FootnoteText"/>
        <w:rPr>
          <w:rFonts w:ascii="Times New Roman" w:hAnsi="Times New Roman" w:cs="Times New Roman"/>
          <w:lang w:val="en-US"/>
        </w:rPr>
      </w:pPr>
      <w:r w:rsidRPr="003502CE">
        <w:rPr>
          <w:rFonts w:ascii="Times New Roman" w:hAnsi="Times New Roman" w:cs="Times New Roman"/>
        </w:rPr>
        <w:t>Reform in North America: Coping with New Challenges (</w:t>
      </w:r>
      <w:proofErr w:type="spellStart"/>
      <w:r w:rsidRPr="003502CE">
        <w:rPr>
          <w:rFonts w:ascii="Times New Roman" w:hAnsi="Times New Roman" w:cs="Times New Roman"/>
        </w:rPr>
        <w:t>Leske</w:t>
      </w:r>
      <w:proofErr w:type="spellEnd"/>
      <w:r w:rsidRPr="003502CE">
        <w:rPr>
          <w:rFonts w:ascii="Times New Roman" w:hAnsi="Times New Roman" w:cs="Times New Roman"/>
        </w:rPr>
        <w:t xml:space="preserve"> and </w:t>
      </w:r>
      <w:proofErr w:type="spellStart"/>
      <w:r w:rsidRPr="003502CE">
        <w:rPr>
          <w:rFonts w:ascii="Times New Roman" w:hAnsi="Times New Roman" w:cs="Times New Roman"/>
        </w:rPr>
        <w:t>Budrich</w:t>
      </w:r>
      <w:proofErr w:type="spellEnd"/>
      <w:r w:rsidRPr="003502CE">
        <w:rPr>
          <w:rFonts w:ascii="Times New Roman" w:hAnsi="Times New Roman" w:cs="Times New Roman"/>
        </w:rPr>
        <w:t xml:space="preserve">: </w:t>
      </w:r>
      <w:proofErr w:type="spellStart"/>
      <w:r w:rsidRPr="003502CE">
        <w:rPr>
          <w:rFonts w:ascii="Times New Roman" w:hAnsi="Times New Roman" w:cs="Times New Roman"/>
        </w:rPr>
        <w:t>Opladen</w:t>
      </w:r>
      <w:proofErr w:type="spellEnd"/>
      <w:r w:rsidRPr="003502CE">
        <w:rPr>
          <w:rFonts w:ascii="Times New Roman" w:hAnsi="Times New Roman" w:cs="Times New Roman"/>
        </w:rPr>
        <w:t>, 2000).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C4971"/>
    <w:multiLevelType w:val="hybridMultilevel"/>
    <w:tmpl w:val="9A2C0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BCFBE8">
      <w:start w:val="1"/>
      <w:numFmt w:val="bullet"/>
      <w:lvlText w:val=""/>
      <w:lvlJc w:val="left"/>
      <w:pPr>
        <w:ind w:left="99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657DC9"/>
    <w:multiLevelType w:val="hybridMultilevel"/>
    <w:tmpl w:val="5874BC8E"/>
    <w:lvl w:ilvl="0" w:tplc="0CBCFBE8">
      <w:start w:val="1"/>
      <w:numFmt w:val="bullet"/>
      <w:lvlText w:val="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EE3"/>
    <w:rsid w:val="00023591"/>
    <w:rsid w:val="007D6D42"/>
    <w:rsid w:val="00D718BC"/>
    <w:rsid w:val="00F22EE3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EE3"/>
    <w:pPr>
      <w:spacing w:after="0" w:line="240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F22EE3"/>
    <w:pPr>
      <w:tabs>
        <w:tab w:val="left" w:pos="709"/>
      </w:tabs>
      <w:suppressAutoHyphens/>
      <w:spacing w:after="0" w:line="200" w:lineRule="atLeast"/>
    </w:pPr>
    <w:rPr>
      <w:rFonts w:ascii="Calibri" w:eastAsia="DejaVu Sans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2E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2E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2E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685</Words>
  <Characters>3906</Characters>
  <Application>Microsoft Macintosh Word</Application>
  <DocSecurity>0</DocSecurity>
  <Lines>32</Lines>
  <Paragraphs>7</Paragraphs>
  <ScaleCrop>false</ScaleCrop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tgrad</dc:creator>
  <cp:keywords/>
  <dc:description/>
  <cp:lastModifiedBy>Adrienne Davidson</cp:lastModifiedBy>
  <cp:revision>2</cp:revision>
  <dcterms:created xsi:type="dcterms:W3CDTF">2010-05-07T16:21:00Z</dcterms:created>
  <dcterms:modified xsi:type="dcterms:W3CDTF">2012-05-12T16:17:00Z</dcterms:modified>
</cp:coreProperties>
</file>